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spacing w:lineRule="auto" w:line="360" w:before="0" w:after="0"/>
        <w:jc w:val="center"/>
        <w:rPr>
          <w:rFonts w:ascii="Calibri" w:hAnsi="Calibri" w:eastAsia="Calibri" w:cs="Times New Roman"/>
          <w:b/>
          <w:b/>
          <w:bCs/>
          <w:color w:val="000000"/>
          <w:sz w:val="24"/>
          <w:szCs w:val="24"/>
          <w:lang w:eastAsia="ar-SA"/>
        </w:rPr>
      </w:pPr>
      <w:r>
        <w:rPr>
          <w:rFonts w:eastAsia="Calibri" w:cs="Times New Roman" w:ascii="Calibri" w:hAnsi="Calibri"/>
          <w:b/>
          <w:bCs/>
          <w:color w:val="000000"/>
          <w:sz w:val="24"/>
          <w:szCs w:val="24"/>
          <w:lang w:eastAsia="ar-SA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2420620</wp:posOffset>
            </wp:positionH>
            <wp:positionV relativeFrom="paragraph">
              <wp:posOffset>104140</wp:posOffset>
            </wp:positionV>
            <wp:extent cx="843280" cy="882015"/>
            <wp:effectExtent l="0" t="0" r="0" b="0"/>
            <wp:wrapNone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uppressAutoHyphens w:val="true"/>
        <w:spacing w:lineRule="auto" w:line="360" w:before="0" w:after="0"/>
        <w:jc w:val="center"/>
        <w:rPr>
          <w:rFonts w:ascii="Calibri" w:hAnsi="Calibri" w:eastAsia="Calibri" w:cs="Times New Roman"/>
          <w:b/>
          <w:b/>
          <w:bCs/>
          <w:color w:val="000000"/>
          <w:sz w:val="24"/>
          <w:szCs w:val="24"/>
          <w:lang w:eastAsia="ar-SA"/>
        </w:rPr>
      </w:pPr>
      <w:r>
        <w:rPr>
          <w:rFonts w:eastAsia="Calibri" w:cs="Times New Roman" w:ascii="Calibri" w:hAnsi="Calibri"/>
          <w:b/>
          <w:bCs/>
          <w:color w:val="000000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360" w:before="0" w:after="0"/>
        <w:jc w:val="center"/>
        <w:rPr>
          <w:rFonts w:ascii="Calibri" w:hAnsi="Calibri" w:eastAsia="Calibri" w:cs="Times New Roman"/>
          <w:b/>
          <w:b/>
          <w:bCs/>
          <w:color w:val="000000"/>
          <w:sz w:val="24"/>
          <w:szCs w:val="24"/>
          <w:lang w:eastAsia="ar-SA"/>
        </w:rPr>
      </w:pPr>
      <w:r>
        <w:rPr>
          <w:rFonts w:eastAsia="Calibri" w:cs="Times New Roman" w:ascii="Calibri" w:hAnsi="Calibri"/>
          <w:b/>
          <w:bCs/>
          <w:color w:val="000000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360" w:before="0" w:after="0"/>
        <w:jc w:val="center"/>
        <w:rPr>
          <w:rFonts w:ascii="Calibri" w:hAnsi="Calibri" w:eastAsia="Calibri" w:cs="Times New Roman"/>
          <w:b/>
          <w:b/>
          <w:bCs/>
          <w:color w:val="000000"/>
          <w:sz w:val="24"/>
          <w:szCs w:val="24"/>
          <w:lang w:eastAsia="ar-SA"/>
        </w:rPr>
      </w:pPr>
      <w:r>
        <w:rPr>
          <w:rFonts w:eastAsia="Calibri" w:cs="Times New Roman" w:ascii="Calibri" w:hAnsi="Calibri"/>
          <w:b/>
          <w:bCs/>
          <w:color w:val="000000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36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b/>
          <w:bCs/>
          <w:color w:val="000000"/>
          <w:sz w:val="24"/>
          <w:szCs w:val="24"/>
          <w:lang w:eastAsia="ar-SA"/>
        </w:rPr>
        <w:t>MARINHA DO BRASIL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b/>
          <w:bCs/>
          <w:color w:val="000000"/>
          <w:sz w:val="24"/>
          <w:szCs w:val="24"/>
          <w:lang w:eastAsia="ar-SA"/>
        </w:rPr>
        <w:t>SERVIÇO DE VETERANOS E PENSIONISTAS DA MARINHA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Calibri" w:hAnsi="Calibri" w:eastAsia="Calibri" w:cs="Times New Roman"/>
          <w:b/>
          <w:b/>
          <w:bCs/>
          <w:color w:val="000000"/>
          <w:sz w:val="24"/>
          <w:szCs w:val="24"/>
          <w:lang w:eastAsia="ar-SA"/>
        </w:rPr>
      </w:pPr>
      <w:r>
        <w:rPr>
          <w:rFonts w:eastAsia="Calibri" w:cs="Times New Roman" w:ascii="Calibri" w:hAnsi="Calibri"/>
          <w:b/>
          <w:bCs/>
          <w:color w:val="000000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76" w:before="0" w:after="200"/>
        <w:jc w:val="center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b/>
          <w:bCs/>
          <w:sz w:val="24"/>
          <w:szCs w:val="24"/>
          <w:lang w:eastAsia="ar-SA"/>
        </w:rPr>
        <w:t>ANEXO  VIII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 w:ascii="Calibri" w:hAnsi="Calibri"/>
          <w:b/>
          <w:bCs/>
          <w:color w:val="000000"/>
          <w:sz w:val="24"/>
          <w:szCs w:val="24"/>
          <w:lang w:eastAsia="pt-BR"/>
        </w:rPr>
        <w:t>Processo Administrativo n.°</w:t>
      </w:r>
      <w:r>
        <w:rPr>
          <w:rFonts w:eastAsia="Times New Roman" w:cs="Times New Roman" w:ascii="Calibri" w:hAnsi="Calibri"/>
          <w:b/>
          <w:bCs/>
          <w:color w:val="000000"/>
          <w:sz w:val="24"/>
          <w:szCs w:val="24"/>
          <w:shd w:fill="FDFDFD" w:val="clear"/>
          <w:lang w:eastAsia="pt-BR"/>
        </w:rPr>
        <w:t xml:space="preserve">  63410.005066/2025-41</w:t>
      </w:r>
    </w:p>
    <w:p>
      <w:pPr>
        <w:pStyle w:val="Normal"/>
        <w:spacing w:lineRule="auto" w:line="240" w:before="0" w:after="0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TERMO DE CONCILIAÇÃO JUDICIAL FIRMADO ENTRE A UNIÃO E O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MINISTÉRIO PÚBLICO DO TRABALHO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O MINISTÉRIO PÚBLICO DO TRABALHO, neste ato representado pelo Procurador-Geral do Trabalho, Dr. Guilherme Mastrichi Basso, pela Vice-Procuradora-Geral do Trabalho, Dra. Guiomar Rechia Gomes, pelo Procurador-Chefe da PRT da 10ª Região, Dr. Brasilino Santos Ramos e pelo Procurador do Trabalho Dr. Fábio Leal Cardoso, e a UNIÃO, neste ato representada pelo Procurador-Geral da União, Dr. Moacir Antonio da Silva Machado, pela Sub Procuradora Regional da União - 1ª Região, Dra. Helia Maria de Oliveira Bettero e pelo Advogado da União, Dr. Mário Luiz Guerreiro;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CONSIDERANDO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CONSIDERANDO que a legislação consolidada em seu art. 9º, comina de nulidade absoluta todos os atos praticados com o intuito de desvirtuar, impedir ou fraudar a aplicação da lei trabalhista;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CONSIDERANDO que as sociedades cooperativas, segundo a Lei n. 5.764, de 16.12.1971, art. 4º, “(...) são sociedades de pessoas, com forma e natureza jurídica próprias, de natureza civil, não sujeitas à falência, constituídas para prestar serviços aos associados”;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CONSIDERANDO que as cooperativas podem prestar serviços a não associados somente em caráter excepcional e desde que tal faculdade atenda aos objetivos sociais previstos na sua norma estatutária, (art. 86, da Lei n. 5.764, de 16.12.1971), aspecto legal que revela a patente impossibilidade jurídica das cooperativas funcionarem como agências de locação de mão de obra terceirizada;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CONSIDERANDO que a administração pública está inexoravelmente jungida ao princípio da legalidade, e que a prática do merchandage é vedada pelo art. 3º, da CLT e repelida pela jurisprudência sumulada do C. TST (En. 331);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CONSIDERANDO que os trabalhadores aliciados por cooperativas de mão de 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sociais do trabalho (arts. 5º, caput e 1º, III e IV da Constituição Federal);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CONSIDERANDO que num processo de terceirização o tomador dos serviços (no caso a administração pública) tem responsabilidade sucessiva por eventuais débitos trabalhistas do fornecedor de mão de obra, nos termos do Enunciado 331, do TST, o que poderia gerar graves prejuízos financeiros ao erário, na hipótese de se apurar a presença dos requisitos do art. 3º, da CLT na atividade de intermediação de mão de obra patrocinada por falsas cooperativas;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CONSIDERANDO o teor da Recomendação Para a Promoção das Cooperativas aprovada na 90ª sessão, da OIT – Organização Internacional do Trabalho, em junho de 2002, dispondo que os Estados devem implementar políticas nos sentido de: “8.1.b Garantir que as cooperativas não sejam criadas para, ou direcionadas a, o não cumprimento das leis do trabalho ou usadas para estabelecer relações de emprego disfarçados, e combater pseudocooperativas que violam os direitos dos trabalhadores velando para que a lei trabalhista seja aplicada em todas as empresas.”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RESOLVEM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Celebrar CONCILIAÇÃO nos autos do Processo 01082-2002-020-10-00-0, em tramitação perante a MM. Vigésima Vara do Trabalho de Brasília-DF, mediante os seguintes termos: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Cláusula Primeira - A UNIÃO abster-se-á de contratar trabalhadores, por meio de cooperativas de mão de 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a) – Serviços de limpeza;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b) – Serviços de conservação;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c) – Serviços de segurança, de vigilância e de portaria;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d) – Serviços de recepção;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e) – Serviços de copeiragem;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f) – Serviços de reprografia;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g) – Serviços de telefonia;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h) – Serviços de manutenção de prédios, de equipamentos, de veículos e de instalações;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i) – Serviços de secretariado e secretariado executivo;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j) – Serviços de auxiliar de escritório;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k) – Serviços de auxiliar administrativo;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l) – Serviços de office boy (contínuo);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m) – Serviços de digitação;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n) – Serviços de assessoria de imprensa e de relações públicas;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o) – Serviços de motorista, no caso de os veículos serem fornecidos pelo próprio órgão licitante;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p) – Serviços de ascensorista;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q) – Serviços de enfermagem; e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r) – Serviços de agentes comunitários de saúde.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Parágrafo Primeiro – O disposto nesta Cláusula não autoriza outras formas de terceirização sem previsão legal.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Parágrafo Segundo – As partes podem, a qualquer momento, mediante comunicação e acordos prévios, ampliar o rol de serviços elencados no caput.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Cláusula Segunda - Considera-se cooperativa de mão de 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Cláusula Terceira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Parágrafo Primeiro - É lícita a contratação de genuínas sociedades cooperativas desde que os serviços licitados não estejam incluídos no rol inserido nas alíneas “a” a “r” da Cláusula Primeira e sejam prestados em caráter coletivo e com absoluta autonomia dos cooperados, seja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 de obra) de trabalhadores a órgãos públicos por cooperativas de qualquer natureza.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DAS SANÇÕES PELO DESCUMPRIMENTO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 xml:space="preserve">Cláusula Quarta </w:t>
      </w:r>
      <w:r>
        <w:rPr>
          <w:rFonts w:cs="Times New Roman" w:ascii="Calibri" w:hAnsi="Calibri"/>
          <w:sz w:val="24"/>
          <w:szCs w:val="24"/>
        </w:rPr>
        <w:t>– A UNIÃO obriga-se ao pagamento de multa (astreinte) correspondente a R$ 1.000,00 (um mil reais) por trabalhador que esteja em desacordo com as condições estabelecidas no presente Termo de Conciliação, sendo a mesma reversível ao Fundo de Amparo ao Trabalhador (FAT).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 xml:space="preserve">Parágrafo Primeiro </w:t>
      </w:r>
      <w:r>
        <w:rPr>
          <w:rFonts w:cs="Times New Roman" w:ascii="Calibri" w:hAnsi="Calibri"/>
          <w:sz w:val="24"/>
          <w:szCs w:val="24"/>
        </w:rPr>
        <w:t>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caput, sem prejuízo das demais cominações legais.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 xml:space="preserve">Parágrafo Segundo </w:t>
      </w:r>
      <w:r>
        <w:rPr>
          <w:rFonts w:cs="Times New Roman" w:ascii="Calibri" w:hAnsi="Calibri"/>
          <w:sz w:val="24"/>
          <w:szCs w:val="24"/>
        </w:rPr>
        <w:t>– Em caso de notícia de descumprimento dos termos firmados neste ajuste, a UNIÃO, depois de intimada, terá prazo de 20 (vinte) dias para apresentar sua justificativa perante o Ministério Público do Trabalho.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DA EXTENSÃO DO AJUSTE À ADMINISTRAÇÃO PÚBLICA INDIRETA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Cláusula Quinta -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DA HOMOLOGAÇÃO JUDICIAL DO AJUSTE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 xml:space="preserve">Cláusula Sexta </w:t>
      </w:r>
      <w:r>
        <w:rPr>
          <w:rFonts w:cs="Times New Roman" w:ascii="Calibri" w:hAnsi="Calibri"/>
          <w:sz w:val="24"/>
          <w:szCs w:val="24"/>
        </w:rPr>
        <w:t>- As partes submetem os termos da presente conciliação à homologação do Juízo da MM. Vigésima Vara do Trabalho, para que o ajuste gere os seus efeitos jurídicos.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 xml:space="preserve">Cláusula Sétima </w:t>
      </w:r>
      <w:r>
        <w:rPr>
          <w:rFonts w:cs="Times New Roman" w:ascii="Calibri" w:hAnsi="Calibri"/>
          <w:sz w:val="24"/>
          <w:szCs w:val="24"/>
        </w:rPr>
        <w:t>- Os termos da presente avença gerarão seus efeitos jurídicos a partir da data de sua homologação judicial.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Parágrafo único - Os contratos em vigor entre a UNIÃO e as Cooperativas, que contrariem o presente acordo, não serão renovados ou prorrogados.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 xml:space="preserve">Cláusula Oitava </w:t>
      </w:r>
      <w:r>
        <w:rPr>
          <w:rFonts w:cs="Times New Roman" w:ascii="Calibri" w:hAnsi="Calibri"/>
          <w:sz w:val="24"/>
          <w:szCs w:val="24"/>
        </w:rPr>
        <w:t>- A presente conciliação extingue o processo com exame do mérito apenas em relação à UNIÃO, prosseguindo o feito quanto aos demais réus. Dito isto, por estarem as partes ajustadas e compromissadas, firmam a presente conciliação em cinco vias, a qual terá eficácia de título judicial, nos termos dos artigos 831, parágrafo único, e 876, caput, da CLT.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Brasília, 21 de junho de 2013.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GUILHERME MASTRICHI BASSO GUIOMAR RECHIA GOMES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Procurador-Geral do Trabalho Vice-Procuradora-Geral do Trabalho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BRASILINO SANTOS RAMOS FÁBIO LEAL CARDOSO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Procurador-Chefe/PRT 10ª Região Procurador do Trabalho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MOACIR ANTONIO DA SILVA MACHADO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Procurador-Geral da União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HELIA MARIA DE OLIVEIRA BETTERO MÁRIOLUIZ GUERREIRO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Subprocuradora da União–1ª Região Advogado da União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GRIJALBO FERNANDES COUTINHO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Presidente da Associação Nacional dos Magistrados da Justiça do Trabalho – ANAMATRA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PAULO SÉRGIO DOMINGUES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Presidente da Associação dos Juízes Federais do Brasil - AJUFE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REGINA BUTRUS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Presidente da Associação Nacional dos Procuradores do Trabalho - ANPT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Termo de Conciliação Judicial celebrado entre a União e o Ministério Público do Trabalho, nos autos do processo nº 1082/02, da 20ª Vara do Trabalho de Brasília/DF, homologado em 05 de junho de 2003.</w:t>
      </w:r>
    </w:p>
    <w:sectPr>
      <w:type w:val="nextPage"/>
      <w:pgSz w:w="11906" w:h="16838"/>
      <w:pgMar w:left="1701" w:right="113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LibreOffice/6.4.7.2$Linux_X86_64 LibreOffice_project/40$Build-2</Application>
  <Pages>4</Pages>
  <Words>1591</Words>
  <Characters>9192</Characters>
  <CharactersWithSpaces>10739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2025-03-21T14:44:00Z</dcterms:created>
  <dc:creator>FCNS TÂNIA</dc:creator>
  <dc:description/>
  <dc:language>pt-BR</dc:language>
  <cp:lastModifiedBy/>
  <dcterms:modified xsi:type="dcterms:W3CDTF">2025-04-02T15:05:30Z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